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228608.58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228608.58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9237.87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3643.29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18896.90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23106.90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279850.25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1.材质：拆除混凝土路面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2.厚度：20cm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8398.37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混凝土路面切缝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1.混凝土路面切缝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3.厚度：20cm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32090.36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1.密实度要求：夯填土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3467.86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2.材质及规格：硅芯管φ75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80864.9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2.材质及规格：硅芯管φ32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31736.4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1.井截面、深度：0.8m*0.6m*1m深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2.砖的品种、规格、强度等级：烧结煤矸石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3.垫层材料种类、厚度：C20砼垫层10cm厚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4.底板厚度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5.井盖安装：铸铁井盖φ700（带座）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6.含挖填土方、砖砌池壁内侧抹灰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32821.6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228608.58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228608.58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48.7791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6243.72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5365.70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532.3687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62287.14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54833.98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六角空心钢(综合)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2.8631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39.4160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合金钢钻头一字型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123.55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13.5041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9964.14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6358.68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22450003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高压风管 φ25-6P-20m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铸铁盖板(带座)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4697.59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11512.22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17.9193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773.2648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21.2822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103.64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305.43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2054.47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1388.15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466.63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2182.92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1845.07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644.85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644.85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990129010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手持式风动凿岩机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16.1446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3m3/min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8.0723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1059.41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92531.99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86321.20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硅芯管φ32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2151.80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15234.74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硅芯管φ75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3656.03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35573.17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塑料管箍φ32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塑料管箍φ75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预拌混凝土路面(C25)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323.01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26202.77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88356.21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5594.58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3028.34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4675.17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邹城市大束镇新葛村（南葛村）弱电管道铺设工程</w:t>
            </w:r>
            <w:bookmarkEnd w:id="0"/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237846.45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237846.45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4162.31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M2ZiMmExODc0NjBkNThhN2MyYTU5MThjYWIxNzYifQ=="/>
  </w:docVars>
  <w:rsids>
    <w:rsidRoot w:val="00172A27"/>
    <w:rsid w:val="49C03135"/>
    <w:rsid w:val="67971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3389</Words>
  <Characters>6100</Characters>
  <TotalTime>0</TotalTime>
  <ScaleCrop>false</ScaleCrop>
  <LinksUpToDate>false</LinksUpToDate>
  <CharactersWithSpaces>6278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2024-07-15T10:09:00Z</dcterms:created>
  <dc:creator>姜洋洋</dc:creator>
  <cp:lastModifiedBy>正方商务宾馆</cp:lastModifiedBy>
  <dcterms:modified xsi:type="dcterms:W3CDTF">2024-07-18T01:44:43Z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9FC99EBB1C164EBBABA19D3784440E17_13</vt:lpwstr>
  </property>
</Properties>
</file>